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r w:rsidR="00DA743C">
        <w:rPr>
          <w:rFonts w:eastAsiaTheme="minorEastAsia" w:cstheme="minorHAnsi"/>
          <w:bCs/>
          <w:iCs/>
          <w:lang w:eastAsia="ru-RU"/>
        </w:rPr>
        <w:t>Россети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энергопринимающих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DA743C">
        <w:rPr>
          <w:rFonts w:eastAsiaTheme="minorEastAsia" w:cstheme="minorHAnsi"/>
          <w:bCs/>
          <w:iCs/>
          <w:lang w:eastAsia="ru-RU"/>
        </w:rPr>
        <w:t>Россети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r w:rsidR="00DA743C">
        <w:rPr>
          <w:rFonts w:cstheme="minorHAnsi"/>
        </w:rPr>
        <w:t>Россети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20</w:t>
      </w:r>
      <w:r w:rsidR="00DA743C">
        <w:rPr>
          <w:rFonts w:cstheme="minorHAnsi"/>
        </w:rPr>
        <w:t>20</w:t>
      </w:r>
      <w:r>
        <w:rPr>
          <w:rFonts w:cstheme="minorHAnsi"/>
        </w:rPr>
        <w:t xml:space="preserve"> год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180BF1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2020 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C411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39 121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C411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36 062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9C411E">
              <w:rPr>
                <w:rFonts w:ascii="Calibri" w:hAnsi="Calibri"/>
                <w:color w:val="000000"/>
              </w:rPr>
              <w:t>2</w:t>
            </w:r>
            <w:r w:rsidR="00F14956">
              <w:rPr>
                <w:rFonts w:ascii="Calibri" w:hAnsi="Calibri"/>
                <w:color w:val="000000"/>
              </w:rPr>
              <w:t>,</w:t>
            </w:r>
            <w:r w:rsidR="002D2210"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C411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1 909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9C411E" w:rsidP="009C41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C411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9C411E">
              <w:rPr>
                <w:rFonts w:ascii="Calibri" w:hAnsi="Calibri"/>
                <w:color w:val="000000"/>
              </w:rPr>
              <w:t>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C411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9C411E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E0FE1"/>
    <w:rsid w:val="002836FA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68432C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2020 год,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705.57131304999996</c:v>
                </c:pt>
                <c:pt idx="1">
                  <c:v>26329.37714824648</c:v>
                </c:pt>
                <c:pt idx="2">
                  <c:v>182.11918000000003</c:v>
                </c:pt>
                <c:pt idx="3">
                  <c:v>149.53624138700002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86EE-E023-42F4-ADE3-32011B7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18</cp:revision>
  <dcterms:created xsi:type="dcterms:W3CDTF">2018-05-16T12:25:00Z</dcterms:created>
  <dcterms:modified xsi:type="dcterms:W3CDTF">2021-02-26T12:36:00Z</dcterms:modified>
</cp:coreProperties>
</file>